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31" w:rsidRDefault="00361A36" w:rsidP="00EC0B1F">
      <w:pPr>
        <w:pStyle w:val="NoSpacing"/>
        <w:pBdr>
          <w:bottom w:val="dotted" w:sz="24" w:space="1" w:color="auto"/>
        </w:pBdr>
      </w:pPr>
      <w:bookmarkStart w:id="0" w:name="_GoBack"/>
      <w:bookmarkEnd w:id="0"/>
      <w:r>
        <w:t>Roland Barthes, “The Death of the Author”</w:t>
      </w:r>
    </w:p>
    <w:p w:rsidR="00EC0B1F" w:rsidRDefault="00EC0B1F" w:rsidP="00EC0B1F">
      <w:pPr>
        <w:pStyle w:val="NoSpacing"/>
      </w:pPr>
    </w:p>
    <w:p w:rsidR="00EC0B1F" w:rsidRDefault="00EC0B1F" w:rsidP="00EC0B1F">
      <w:pPr>
        <w:pStyle w:val="NoSpacing"/>
      </w:pPr>
      <w:r>
        <w:t>RB starts with a BANG: “Writing is that neutral, composite, oblique space where our subject slips away, the negative where all identity is lost, starting with the very identity of the body writing.”[p. 142]</w:t>
      </w:r>
    </w:p>
    <w:p w:rsidR="00EC0B1F" w:rsidRDefault="00EC0B1F" w:rsidP="00EC0B1F">
      <w:pPr>
        <w:pStyle w:val="NoSpacing"/>
      </w:pPr>
    </w:p>
    <w:p w:rsidR="00EC0B1F" w:rsidRDefault="002A65CE" w:rsidP="00EC0B1F">
      <w:pPr>
        <w:pStyle w:val="NoSpacing"/>
      </w:pPr>
      <w:r>
        <w:t xml:space="preserve">RB then offers a specious and rather complex theory of how and why the idea of ‘authorship’ came to be attached automatically to any written work of art, and the authorial </w:t>
      </w:r>
      <w:r>
        <w:rPr>
          <w:i/>
        </w:rPr>
        <w:t xml:space="preserve">entity </w:t>
      </w:r>
      <w:r>
        <w:t xml:space="preserve">seen to be </w:t>
      </w:r>
      <w:r>
        <w:rPr>
          <w:i/>
        </w:rPr>
        <w:t xml:space="preserve">entailed </w:t>
      </w:r>
      <w:r>
        <w:t>by the work itself.</w:t>
      </w:r>
    </w:p>
    <w:p w:rsidR="002A65CE" w:rsidRDefault="002A65CE" w:rsidP="00EC0B1F">
      <w:pPr>
        <w:pStyle w:val="NoSpacing"/>
      </w:pPr>
      <w:r>
        <w:tab/>
        <w:t xml:space="preserve">JP: Notice that here RB diverges from Livingston’s approach to fictional art. He has a theory of history of ideas that </w:t>
      </w:r>
      <w:r>
        <w:rPr>
          <w:i/>
        </w:rPr>
        <w:t xml:space="preserve">explains away </w:t>
      </w:r>
      <w:r>
        <w:t xml:space="preserve">what he regards as a </w:t>
      </w:r>
      <w:r>
        <w:rPr>
          <w:i/>
        </w:rPr>
        <w:t xml:space="preserve">mistaken </w:t>
      </w:r>
      <w:r>
        <w:t>connection between a story told by way of literary devices</w:t>
      </w:r>
      <w:r w:rsidR="00D47653">
        <w:t xml:space="preserve"> and the model of communication between a speaker and an audience that anchors the commonsense (in </w:t>
      </w:r>
      <w:r w:rsidR="00D47653" w:rsidRPr="00D47653">
        <w:rPr>
          <w:b/>
          <w:i/>
        </w:rPr>
        <w:t>our era only</w:t>
      </w:r>
      <w:r w:rsidR="00D47653">
        <w:t xml:space="preserve"> RB takes pains to point out!) view of the language of literary fiction.</w:t>
      </w:r>
    </w:p>
    <w:p w:rsidR="00D47653" w:rsidRDefault="00902326" w:rsidP="00EC0B1F">
      <w:pPr>
        <w:pStyle w:val="NoSpacing"/>
      </w:pPr>
      <w:r>
        <w:tab/>
        <w:t xml:space="preserve">JP: It’s hard to tell whether this is an argument among literary theorists that only has tangential relations to the philosophical question: do </w:t>
      </w:r>
      <w:r>
        <w:rPr>
          <w:i/>
        </w:rPr>
        <w:t xml:space="preserve">stories </w:t>
      </w:r>
      <w:r>
        <w:t xml:space="preserve">entail </w:t>
      </w:r>
      <w:r>
        <w:rPr>
          <w:i/>
        </w:rPr>
        <w:t xml:space="preserve">storytellers? </w:t>
      </w:r>
    </w:p>
    <w:p w:rsidR="00AB025E" w:rsidRDefault="00AB025E" w:rsidP="00EC0B1F">
      <w:pPr>
        <w:pStyle w:val="NoSpacing"/>
      </w:pPr>
      <w:r>
        <w:tab/>
        <w:t xml:space="preserve">JP: When RB says he prefers to think that it is </w:t>
      </w:r>
      <w:r>
        <w:rPr>
          <w:b/>
        </w:rPr>
        <w:t>language itself</w:t>
      </w:r>
      <w:r>
        <w:t xml:space="preserve"> that is speaking, not an </w:t>
      </w:r>
      <w:r>
        <w:rPr>
          <w:b/>
        </w:rPr>
        <w:t>author</w:t>
      </w:r>
      <w:r>
        <w:t xml:space="preserve">, he sounds </w:t>
      </w:r>
      <w:r>
        <w:rPr>
          <w:b/>
        </w:rPr>
        <w:t>too precious for words</w:t>
      </w:r>
      <w:r>
        <w:t xml:space="preserve">. In the actual world, this can only be some kind of, admittedly </w:t>
      </w:r>
      <w:r>
        <w:rPr>
          <w:b/>
        </w:rPr>
        <w:t>literary</w:t>
      </w:r>
      <w:r>
        <w:t xml:space="preserve">, </w:t>
      </w:r>
      <w:r w:rsidRPr="00AB025E">
        <w:rPr>
          <w:b/>
          <w:u w:val="single"/>
        </w:rPr>
        <w:t>conceit</w:t>
      </w:r>
      <w:r>
        <w:t xml:space="preserve">! There </w:t>
      </w:r>
      <w:r>
        <w:rPr>
          <w:b/>
        </w:rPr>
        <w:t>are no languages without speakers and listeners!</w:t>
      </w:r>
      <w:r>
        <w:t xml:space="preserve"> (At least, that is what the commonsense realist would say….what supports the idealist position of RB? ….Stay Tuned!).</w:t>
      </w:r>
    </w:p>
    <w:p w:rsidR="00A91DFF" w:rsidRDefault="00A91DFF" w:rsidP="00EC0B1F">
      <w:pPr>
        <w:pStyle w:val="NoSpacing"/>
      </w:pPr>
      <w:r>
        <w:tab/>
        <w:t xml:space="preserve">JP: Can RB’s desire to get rid of the speaker be managed as itself </w:t>
      </w:r>
      <w:r>
        <w:rPr>
          <w:b/>
          <w:i/>
        </w:rPr>
        <w:t>a literary device</w:t>
      </w:r>
      <w:r>
        <w:t xml:space="preserve"> without making it necessary to </w:t>
      </w:r>
      <w:r>
        <w:rPr>
          <w:b/>
          <w:i/>
        </w:rPr>
        <w:t xml:space="preserve">give up the idea that every work of literary fiction that is the product of a single MAKER </w:t>
      </w:r>
      <w:r>
        <w:t>(to revert to Livingston’s distinction between ‘makers’ and ‘authors’)? I think so.</w:t>
      </w:r>
    </w:p>
    <w:p w:rsidR="00B8450A" w:rsidRDefault="00B8450A" w:rsidP="00EC0B1F">
      <w:pPr>
        <w:pStyle w:val="NoSpacing"/>
      </w:pPr>
      <w:r>
        <w:tab/>
        <w:t xml:space="preserve">JP: This is Platonism on the status of language itself (and no less implausible for the invention of a transcendental ontology grounded in disembodied linguistic </w:t>
      </w:r>
      <w:r>
        <w:rPr>
          <w:b/>
          <w:i/>
        </w:rPr>
        <w:t>voices</w:t>
      </w:r>
      <w:r>
        <w:t>).</w:t>
      </w:r>
    </w:p>
    <w:p w:rsidR="00902326" w:rsidRDefault="00902326" w:rsidP="00EC0B1F">
      <w:pPr>
        <w:pStyle w:val="NoSpacing"/>
      </w:pPr>
    </w:p>
    <w:p w:rsidR="003A2041" w:rsidRDefault="003F0651" w:rsidP="00EC0B1F">
      <w:pPr>
        <w:pStyle w:val="NoSpacing"/>
      </w:pPr>
      <w:r>
        <w:t xml:space="preserve">In one respect RB seems right: the </w:t>
      </w:r>
      <w:r>
        <w:rPr>
          <w:i/>
        </w:rPr>
        <w:t xml:space="preserve">book </w:t>
      </w:r>
      <w:r>
        <w:t xml:space="preserve">and the </w:t>
      </w:r>
      <w:r>
        <w:rPr>
          <w:i/>
        </w:rPr>
        <w:t xml:space="preserve">author </w:t>
      </w:r>
      <w:r>
        <w:t xml:space="preserve">are not the same, and you cannot </w:t>
      </w:r>
      <w:r>
        <w:rPr>
          <w:i/>
        </w:rPr>
        <w:t xml:space="preserve">recover the book </w:t>
      </w:r>
      <w:r>
        <w:t xml:space="preserve">simply by delving deeply into the </w:t>
      </w:r>
      <w:r>
        <w:rPr>
          <w:i/>
        </w:rPr>
        <w:t>mind of its author</w:t>
      </w:r>
      <w:r>
        <w:t xml:space="preserve">. But that doesn’t disconnect the act of </w:t>
      </w:r>
      <w:r>
        <w:rPr>
          <w:i/>
        </w:rPr>
        <w:t xml:space="preserve">communication </w:t>
      </w:r>
      <w:r>
        <w:t xml:space="preserve">from the need for someone </w:t>
      </w:r>
      <w:r>
        <w:rPr>
          <w:i/>
        </w:rPr>
        <w:t>doing the communicating</w:t>
      </w:r>
      <w:r>
        <w:t>. It just shows that communication can included voices-within-voices-within-voices.</w:t>
      </w:r>
    </w:p>
    <w:p w:rsidR="003F0651" w:rsidRDefault="003F0651" w:rsidP="00EC0B1F">
      <w:pPr>
        <w:pStyle w:val="NoSpacing"/>
      </w:pPr>
    </w:p>
    <w:p w:rsidR="003F0651" w:rsidRDefault="00D47127" w:rsidP="00EC0B1F">
      <w:pPr>
        <w:pStyle w:val="NoSpacing"/>
      </w:pPr>
      <w:r>
        <w:t xml:space="preserve">It does seem that a speaker </w:t>
      </w:r>
      <w:r>
        <w:rPr>
          <w:b/>
        </w:rPr>
        <w:t>can</w:t>
      </w:r>
      <w:r>
        <w:t xml:space="preserve"> ‘bury the author’ in virtue of the </w:t>
      </w:r>
      <w:r>
        <w:rPr>
          <w:b/>
        </w:rPr>
        <w:t>way they articulate</w:t>
      </w:r>
      <w:r>
        <w:t xml:space="preserve"> (in part by </w:t>
      </w:r>
      <w:r>
        <w:rPr>
          <w:b/>
        </w:rPr>
        <w:t>assuming the voice of another</w:t>
      </w:r>
      <w:r>
        <w:t xml:space="preserve">). But all this is due to </w:t>
      </w:r>
      <w:r>
        <w:rPr>
          <w:i/>
        </w:rPr>
        <w:t xml:space="preserve">imagination, </w:t>
      </w:r>
      <w:r>
        <w:t>and not to some Platonist disembodied entity LANGUAGE that is speaking without there being a speaker!</w:t>
      </w:r>
    </w:p>
    <w:p w:rsidR="00D47127" w:rsidRDefault="00D47127" w:rsidP="00EC0B1F">
      <w:pPr>
        <w:pStyle w:val="NoSpacing"/>
      </w:pPr>
    </w:p>
    <w:p w:rsidR="00D47127" w:rsidRDefault="002C6958" w:rsidP="00EC0B1F">
      <w:pPr>
        <w:pStyle w:val="NoSpacing"/>
      </w:pPr>
      <w:r>
        <w:t xml:space="preserve">RB finally reveals </w:t>
      </w:r>
      <w:r w:rsidR="005C3C9B">
        <w:t>h</w:t>
      </w:r>
      <w:r>
        <w:t>is actual beef: “Once the Author is removed, the claim to decipher the text becomes quite futile. To give a text an Author is to impose a limit on that text, to furnish it with a final signified, to close the writing.” [p. 147]</w:t>
      </w:r>
    </w:p>
    <w:p w:rsidR="002C6958" w:rsidRDefault="002C6958" w:rsidP="00EC0B1F">
      <w:pPr>
        <w:pStyle w:val="NoSpacing"/>
      </w:pPr>
      <w:r>
        <w:tab/>
        <w:t xml:space="preserve">JP: But this is just to imagine that some of the freedoms that come with imaginative writing cannot be preserved without KILLING THE AUTHOR. But I think that is a mistake. You can preserve that freedom from the stupid idea that </w:t>
      </w:r>
      <w:r>
        <w:rPr>
          <w:u w:val="single"/>
        </w:rPr>
        <w:t>there is only one correct interpretation of a text and that interpretation is grounded in the intentions of the author/speaker</w:t>
      </w:r>
      <w:r>
        <w:t xml:space="preserve">. You just indicate that </w:t>
      </w:r>
      <w:r>
        <w:rPr>
          <w:u w:val="single"/>
        </w:rPr>
        <w:t>sometimes/ofttimes an author is PLAYING AROUND IN WORDS and making discoveries or simply engaging in experiments, with no particular INTENTION in mind.</w:t>
      </w:r>
      <w:r>
        <w:rPr>
          <w:b/>
          <w:u w:val="single"/>
        </w:rPr>
        <w:t xml:space="preserve"> </w:t>
      </w:r>
      <w:r>
        <w:t xml:space="preserve">For this reason, I think RB’s whole groundwork supporting the ‘death of the author’ is really just a diatribe against those critical theorists who try to </w:t>
      </w:r>
      <w:r>
        <w:rPr>
          <w:i/>
        </w:rPr>
        <w:t xml:space="preserve">mine the depths of a text looking for the authors soul. </w:t>
      </w:r>
      <w:r>
        <w:t xml:space="preserve">But we can avoid that without going so far as to propose that language </w:t>
      </w:r>
      <w:r>
        <w:rPr>
          <w:i/>
        </w:rPr>
        <w:t xml:space="preserve">is an ontological entity unto itself. </w:t>
      </w:r>
    </w:p>
    <w:p w:rsidR="002C6958" w:rsidRPr="002C6958" w:rsidRDefault="002C6958" w:rsidP="00EC0B1F">
      <w:pPr>
        <w:pStyle w:val="NoSpacing"/>
      </w:pPr>
    </w:p>
    <w:sectPr w:rsidR="002C6958" w:rsidRPr="002C6958" w:rsidSect="00F92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36"/>
    <w:rsid w:val="000A766E"/>
    <w:rsid w:val="002A65CE"/>
    <w:rsid w:val="002C6958"/>
    <w:rsid w:val="00361A36"/>
    <w:rsid w:val="003A2041"/>
    <w:rsid w:val="003F0651"/>
    <w:rsid w:val="005C3C9B"/>
    <w:rsid w:val="007254C5"/>
    <w:rsid w:val="008C5999"/>
    <w:rsid w:val="00902326"/>
    <w:rsid w:val="00A91DFF"/>
    <w:rsid w:val="00AB025E"/>
    <w:rsid w:val="00B8450A"/>
    <w:rsid w:val="00D47127"/>
    <w:rsid w:val="00D47653"/>
    <w:rsid w:val="00D94631"/>
    <w:rsid w:val="00EC0B1F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8794-52FE-4704-BAF0-0958ACB3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Potter</dc:creator>
  <cp:keywords/>
  <dc:description/>
  <cp:lastModifiedBy>Jason Potter</cp:lastModifiedBy>
  <cp:revision>2</cp:revision>
  <dcterms:created xsi:type="dcterms:W3CDTF">2024-09-27T21:17:00Z</dcterms:created>
  <dcterms:modified xsi:type="dcterms:W3CDTF">2024-09-27T21:17:00Z</dcterms:modified>
</cp:coreProperties>
</file>